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36"/>
          <w:szCs w:val="3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РЕЗОЛЮЦИЯ</w:t>
        <w:br w:type="textWrapping"/>
        <w:t>по итогам конференции</w:t>
        <w:br w:type="textWrapping"/>
        <w:t>«Цифровые виды спорта</w:t>
      </w:r>
      <w:r>
        <w:rPr>
          <w:rFonts w:ascii="Times New Roman" w:hAnsi="Times New Roman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взгляд в будущее»</w:t>
        <w:br w:type="textWrapping"/>
        <w:t>и круглого стола</w:t>
        <w:br w:type="textWrapping"/>
        <w:t>«Педагогические</w:t>
      </w:r>
      <w:r>
        <w:rPr>
          <w:rFonts w:ascii="Times New Roman" w:hAnsi="Times New Roman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юридические и социальные аспекты цифрового спорта»</w:t>
        <w:br w:type="textWrapping"/>
      </w:r>
      <w:r>
        <w:rPr>
          <w:rFonts w:ascii="Times New Roman" w:hAnsi="Times New Roman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МГАФК</w:t>
      </w:r>
      <w:r>
        <w:rPr>
          <w:rFonts w:ascii="Times New Roman" w:hAnsi="Times New Roman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28 </w:t>
      </w:r>
      <w:r>
        <w:rPr>
          <w:rFonts w:ascii="Times New Roman" w:hAnsi="Times New Roman" w:hint="default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rFonts w:ascii="Times New Roman" w:hAnsi="Times New Roman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rFonts w:ascii="Times New Roman" w:hAnsi="Times New Roman" w:hint="default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line="240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в Московской государственной академии физической культуры состоялась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практическая конференция «Цифровые виды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взгляд в будущее» и круглый стол «Педагогические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юридические и социальные аспекты цифрового спорта»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Мероприятие прошло при участии Министерства спорта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представителей профильных федераций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образовательных учреждений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экспертов цифровой индустрии и специалистов в области спортивных технологий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Количество представленных докладов —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том числе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онлайн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конференции были рассмотрены актуальные направления развития цифровых видов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компьютерный спорт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фиджитал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дисциплины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спортивное программирование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гонки дронов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тактические симуляторы и другие высокотехнологичные форматы спортивной активности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Особое внимание уделено реализации Концепции развития фиджитал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движения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утверждённой Правительством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вопросам внедрения современных технологий в образовательный и тренировочный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Докладчики представили результаты научных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методы подготовки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подходы к развитию студенческого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юридические аспекты регулирования цифровых дисциплин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механизмы борьбы с нарушениями правил в цифровом спорте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вопросы адаптации ветеранов через спортивную среду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Особо были выделены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нормативно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правовые аспекты развития цифровых видов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совершенствование античит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 и обеспечение цифровой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развитие цифровых видов спорта в регионах и образовательных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интеграция цифровых видов спорта в образовательные программы и создание студенческих лиг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социализация и реабилитация ветеранов с использованием потенциала цифрового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ПРОЦЕССЕ ОБСУЖДЕНИЯ ИТОГОВ КОНФЕРЕНЦИИ СДЕЛАНЫ СЛЕДУЮЩИЕ РЕКОМЕНДАЦИИ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Продолжить системную работу по развитию цифровых видов спорта в образовательных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спортивных учреждениях и федерациях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обеспечивая методическую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научную и технологическую поддержку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Установить практику ежегодного проведения конференции «Цифровые виды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взгляд в будущее» на базе МГАФК с расширением состава участников и тематических направлений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Развивать студенческое фиджитал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обеспечить взаимодействие образовательных организаций с Российским студенческим спортивным союзом и иными общественными организациями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профильными федерациями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методическими центрами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Создать рабочую группу по разработке методических рекомендаций по подготовке спортсменов цифровых дисциплин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вопросы баланса цифровой и физической нагрузки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психологического сопровождения и профилактики рисков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Инициировать разработку типовой формы трудового договора для спортсменов с учетом изменения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специфики дистанционного режима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интеллектуальных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требований к цифровой гигиене и охране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Обратить внимание на соблюдение антидопингового законодательства спортсменами цифровых видов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Рекомендовать обеспечивать поддержку разработки отечественных античит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 и готовить специалистов в области цифрового контроля и безопасности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расширению инфраструктуры цифровых видов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открытие фиджитал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лабораторий цифрового спорта и оснащение образовательных учреждений современными спортивно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технологическими комплексами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Поддержать инициативу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направленную на обучение молодёжи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школьников и студентов цифровым видам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проведение открытых фиджитал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образовательных программ и массовых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Поддержать развитие научных исследований в области цифрового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стимулировать междисциплинарные проекты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публикации и внедрение инновационных решений в тренировочный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Отметить важность социальной миссии цифрового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поддержать программы реабилитации и адаптации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вовлечение ветеранов и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нуждающихся в повышенной социальной поддержке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jc w:val="both"/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9360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Fill>
        <w14:solidFill>
          <w14:srgbClr w14:val="365F9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